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55" w:rsidRPr="00722E55" w:rsidRDefault="00722E55" w:rsidP="009F4573">
      <w:pPr>
        <w:jc w:val="center"/>
        <w:rPr>
          <w:rFonts w:ascii="David" w:eastAsiaTheme="minorHAnsi" w:hAnsi="David" w:cs="David"/>
          <w:sz w:val="40"/>
          <w:szCs w:val="40"/>
          <w:u w:val="double"/>
          <w:rtl/>
        </w:rPr>
      </w:pPr>
      <w:r w:rsidRPr="00722E55">
        <w:rPr>
          <w:rFonts w:ascii="David" w:eastAsiaTheme="minorHAnsi" w:hAnsi="David" w:cs="David"/>
          <w:b/>
          <w:bCs/>
          <w:sz w:val="40"/>
          <w:szCs w:val="40"/>
          <w:u w:val="double"/>
          <w:rtl/>
        </w:rPr>
        <w:t xml:space="preserve">מדיניות הוועדה בנושא </w:t>
      </w:r>
      <w:r w:rsidR="00473AA1">
        <w:rPr>
          <w:rFonts w:ascii="David" w:eastAsiaTheme="minorHAnsi" w:hAnsi="David" w:cs="David" w:hint="cs"/>
          <w:b/>
          <w:bCs/>
          <w:sz w:val="40"/>
          <w:szCs w:val="40"/>
          <w:u w:val="double"/>
          <w:rtl/>
        </w:rPr>
        <w:t>ה</w:t>
      </w:r>
      <w:r>
        <w:rPr>
          <w:rFonts w:ascii="David" w:eastAsiaTheme="minorHAnsi" w:hAnsi="David" w:cs="David" w:hint="cs"/>
          <w:b/>
          <w:bCs/>
          <w:sz w:val="40"/>
          <w:szCs w:val="40"/>
          <w:u w:val="double"/>
          <w:rtl/>
        </w:rPr>
        <w:t xml:space="preserve">פחתת </w:t>
      </w:r>
      <w:r w:rsidRPr="00722E55">
        <w:rPr>
          <w:rFonts w:ascii="David" w:eastAsiaTheme="minorHAnsi" w:hAnsi="David" w:cs="David"/>
          <w:b/>
          <w:bCs/>
          <w:sz w:val="40"/>
          <w:szCs w:val="40"/>
          <w:u w:val="double"/>
          <w:rtl/>
        </w:rPr>
        <w:t>ערבות בנקאית</w:t>
      </w:r>
    </w:p>
    <w:p w:rsidR="00722E55" w:rsidRPr="00722E55" w:rsidRDefault="00722E55" w:rsidP="00722E55">
      <w:pPr>
        <w:jc w:val="center"/>
        <w:rPr>
          <w:rFonts w:ascii="David" w:eastAsiaTheme="minorHAnsi" w:hAnsi="David" w:cs="David"/>
          <w:rtl/>
        </w:rPr>
      </w:pPr>
    </w:p>
    <w:p w:rsidR="00722E55" w:rsidRPr="00722E55" w:rsidRDefault="00722E55" w:rsidP="00722E55">
      <w:pPr>
        <w:jc w:val="center"/>
        <w:rPr>
          <w:rFonts w:ascii="David" w:eastAsiaTheme="minorHAnsi" w:hAnsi="David" w:cs="David"/>
          <w:rtl/>
        </w:rPr>
      </w:pPr>
    </w:p>
    <w:p w:rsidR="00722E55" w:rsidRPr="00722E55" w:rsidRDefault="00722E55" w:rsidP="00722E55">
      <w:pPr>
        <w:pStyle w:val="a9"/>
        <w:numPr>
          <w:ilvl w:val="0"/>
          <w:numId w:val="2"/>
        </w:numPr>
        <w:ind w:left="714" w:hanging="357"/>
        <w:contextualSpacing w:val="0"/>
        <w:rPr>
          <w:rFonts w:ascii="David" w:eastAsiaTheme="minorHAnsi" w:hAnsi="David" w:cs="David"/>
          <w:b/>
          <w:bCs/>
        </w:rPr>
      </w:pPr>
      <w:r w:rsidRPr="00722E55">
        <w:rPr>
          <w:rFonts w:ascii="David" w:eastAsiaTheme="minorHAnsi" w:hAnsi="David" w:cs="David"/>
          <w:b/>
          <w:bCs/>
          <w:rtl/>
        </w:rPr>
        <w:t>להלן</w:t>
      </w:r>
      <w:r>
        <w:rPr>
          <w:rFonts w:ascii="David" w:eastAsiaTheme="minorHAnsi" w:hAnsi="David" w:cs="David" w:hint="cs"/>
          <w:b/>
          <w:bCs/>
          <w:rtl/>
        </w:rPr>
        <w:t xml:space="preserve"> תקנה</w:t>
      </w:r>
      <w:r w:rsidRPr="00722E55">
        <w:rPr>
          <w:rFonts w:ascii="David" w:eastAsiaTheme="minorHAnsi" w:hAnsi="David" w:cs="David"/>
          <w:b/>
          <w:bCs/>
          <w:rtl/>
        </w:rPr>
        <w:t xml:space="preserve"> 58 לתקנות התכנון והבניה(רישוי ובניה) התשע"ו-2016:</w:t>
      </w:r>
    </w:p>
    <w:p w:rsidR="00722E55" w:rsidRPr="00722E55" w:rsidRDefault="00722E55" w:rsidP="00722E55">
      <w:pPr>
        <w:pStyle w:val="a9"/>
        <w:ind w:left="714"/>
        <w:rPr>
          <w:rFonts w:ascii="David" w:eastAsiaTheme="minorHAnsi" w:hAnsi="David" w:cs="David"/>
          <w:b/>
          <w:bCs/>
          <w:u w:val="single"/>
          <w:rtl/>
        </w:rPr>
      </w:pPr>
      <w:r w:rsidRPr="00722E55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07630781" wp14:editId="47E22957">
            <wp:simplePos x="0" y="0"/>
            <wp:positionH relativeFrom="column">
              <wp:posOffset>477520</wp:posOffset>
            </wp:positionH>
            <wp:positionV relativeFrom="paragraph">
              <wp:posOffset>93345</wp:posOffset>
            </wp:positionV>
            <wp:extent cx="5812790" cy="763905"/>
            <wp:effectExtent l="0" t="0" r="0" b="0"/>
            <wp:wrapThrough wrapText="bothSides">
              <wp:wrapPolygon edited="0">
                <wp:start x="0" y="0"/>
                <wp:lineTo x="0" y="21007"/>
                <wp:lineTo x="21520" y="21007"/>
                <wp:lineTo x="21520" y="0"/>
                <wp:lineTo x="0" y="0"/>
              </wp:wrapPolygon>
            </wp:wrapThrough>
            <wp:docPr id="1" name="תמונה 1" descr="תמונה שמכילה טקסט, צילום מסך, גופן, קו&#10;&#10;תוכן שנוצר על-ידי בינה מלאכות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שמכילה טקסט, צילום מסך, גופן, קו&#10;&#10;תוכן שנוצר על-ידי בינה מלאכותית עשוי להיות שגוי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279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E55" w:rsidRDefault="00722E55" w:rsidP="00722E55">
      <w:pPr>
        <w:ind w:left="357"/>
        <w:rPr>
          <w:rFonts w:ascii="David" w:eastAsiaTheme="minorHAnsi" w:hAnsi="David" w:cs="David"/>
          <w:b/>
          <w:bCs/>
          <w:u w:val="single"/>
          <w:rtl/>
        </w:rPr>
      </w:pPr>
    </w:p>
    <w:p w:rsidR="00722E55" w:rsidRPr="00722E55" w:rsidRDefault="00722E55" w:rsidP="00722E55">
      <w:pPr>
        <w:ind w:left="357"/>
        <w:rPr>
          <w:rFonts w:ascii="David" w:eastAsiaTheme="minorHAnsi" w:hAnsi="David" w:cs="David"/>
          <w:b/>
          <w:bCs/>
          <w:u w:val="single"/>
          <w:rtl/>
        </w:rPr>
      </w:pPr>
    </w:p>
    <w:p w:rsidR="00722E55" w:rsidRPr="00722E55" w:rsidRDefault="00722E55" w:rsidP="00722E55">
      <w:pPr>
        <w:pStyle w:val="a9"/>
        <w:numPr>
          <w:ilvl w:val="0"/>
          <w:numId w:val="2"/>
        </w:numPr>
        <w:contextualSpacing w:val="0"/>
        <w:rPr>
          <w:rFonts w:ascii="David" w:eastAsiaTheme="minorHAnsi" w:hAnsi="David" w:cs="David"/>
          <w:b/>
          <w:bCs/>
          <w:u w:val="single"/>
        </w:rPr>
      </w:pPr>
      <w:r>
        <w:rPr>
          <w:rFonts w:ascii="David" w:eastAsiaTheme="minorHAnsi" w:hAnsi="David" w:cs="David" w:hint="cs"/>
          <w:b/>
          <w:bCs/>
          <w:rtl/>
        </w:rPr>
        <w:t>תקנה</w:t>
      </w:r>
      <w:r w:rsidRPr="00722E55">
        <w:rPr>
          <w:rFonts w:ascii="David" w:eastAsiaTheme="minorHAnsi" w:hAnsi="David" w:cs="David"/>
          <w:b/>
          <w:bCs/>
          <w:rtl/>
        </w:rPr>
        <w:t xml:space="preserve"> 70 לתקנות התכנון והבניה(רישוי ובניה) התשע"ו-2016:</w:t>
      </w:r>
    </w:p>
    <w:p w:rsidR="00722E55" w:rsidRDefault="00722E55" w:rsidP="00722E55">
      <w:pPr>
        <w:pStyle w:val="a9"/>
        <w:rPr>
          <w:rFonts w:ascii="David" w:eastAsiaTheme="minorHAnsi" w:hAnsi="David" w:cs="David"/>
          <w:b/>
          <w:bCs/>
          <w:u w:val="single"/>
          <w:rtl/>
        </w:rPr>
      </w:pPr>
      <w:r w:rsidRPr="00722E55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87686AC" wp14:editId="561966E6">
            <wp:simplePos x="0" y="0"/>
            <wp:positionH relativeFrom="column">
              <wp:posOffset>477520</wp:posOffset>
            </wp:positionH>
            <wp:positionV relativeFrom="paragraph">
              <wp:posOffset>85090</wp:posOffset>
            </wp:positionV>
            <wp:extent cx="5813425" cy="2794000"/>
            <wp:effectExtent l="0" t="0" r="0" b="6350"/>
            <wp:wrapThrough wrapText="bothSides">
              <wp:wrapPolygon edited="0">
                <wp:start x="0" y="0"/>
                <wp:lineTo x="0" y="21502"/>
                <wp:lineTo x="21517" y="21502"/>
                <wp:lineTo x="21517" y="0"/>
                <wp:lineTo x="0" y="0"/>
              </wp:wrapPolygon>
            </wp:wrapThrough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425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E55" w:rsidRDefault="00722E55" w:rsidP="00722E55">
      <w:pPr>
        <w:pStyle w:val="a9"/>
        <w:rPr>
          <w:rFonts w:ascii="David" w:eastAsiaTheme="minorHAnsi" w:hAnsi="David" w:cs="David"/>
          <w:b/>
          <w:bCs/>
          <w:u w:val="single"/>
          <w:rtl/>
        </w:rPr>
      </w:pPr>
    </w:p>
    <w:p w:rsidR="00722E55" w:rsidRDefault="00722E55" w:rsidP="00722E55">
      <w:pPr>
        <w:ind w:left="357"/>
        <w:rPr>
          <w:rFonts w:ascii="David" w:eastAsiaTheme="minorHAnsi" w:hAnsi="David" w:cs="David"/>
          <w:b/>
          <w:bCs/>
          <w:u w:val="single"/>
          <w:rtl/>
        </w:rPr>
      </w:pPr>
    </w:p>
    <w:p w:rsidR="00722E55" w:rsidRPr="00722E55" w:rsidRDefault="00722E55" w:rsidP="00722E55">
      <w:pPr>
        <w:pStyle w:val="a9"/>
        <w:numPr>
          <w:ilvl w:val="0"/>
          <w:numId w:val="3"/>
        </w:numPr>
        <w:rPr>
          <w:rFonts w:ascii="David" w:eastAsiaTheme="minorHAnsi" w:hAnsi="David" w:cs="David"/>
          <w:b/>
          <w:bCs/>
          <w:u w:val="single"/>
          <w:rtl/>
        </w:rPr>
      </w:pPr>
      <w:r>
        <w:rPr>
          <w:rFonts w:ascii="David" w:eastAsiaTheme="minorHAnsi" w:hAnsi="David" w:cs="David" w:hint="cs"/>
          <w:b/>
          <w:bCs/>
          <w:u w:val="single"/>
          <w:rtl/>
        </w:rPr>
        <w:t>מטרת הנו</w:t>
      </w:r>
      <w:r w:rsidR="00B224E4">
        <w:rPr>
          <w:rFonts w:ascii="David" w:eastAsiaTheme="minorHAnsi" w:hAnsi="David" w:cs="David" w:hint="cs"/>
          <w:b/>
          <w:bCs/>
          <w:u w:val="single"/>
          <w:rtl/>
        </w:rPr>
        <w:t>ה</w:t>
      </w:r>
      <w:r>
        <w:rPr>
          <w:rFonts w:ascii="David" w:eastAsiaTheme="minorHAnsi" w:hAnsi="David" w:cs="David" w:hint="cs"/>
          <w:b/>
          <w:bCs/>
          <w:u w:val="single"/>
          <w:rtl/>
        </w:rPr>
        <w:t>ל</w:t>
      </w:r>
    </w:p>
    <w:p w:rsidR="00722E55" w:rsidRPr="00722E55" w:rsidRDefault="00722E55" w:rsidP="00722E55">
      <w:pPr>
        <w:pStyle w:val="a9"/>
        <w:numPr>
          <w:ilvl w:val="0"/>
          <w:numId w:val="2"/>
        </w:numPr>
        <w:ind w:left="1132"/>
        <w:contextualSpacing w:val="0"/>
        <w:rPr>
          <w:rFonts w:ascii="David" w:eastAsiaTheme="minorHAnsi" w:hAnsi="David" w:cs="David"/>
          <w:b/>
          <w:bCs/>
        </w:rPr>
      </w:pPr>
      <w:r w:rsidRPr="00722E55">
        <w:rPr>
          <w:rFonts w:ascii="David" w:eastAsiaTheme="minorHAnsi" w:hAnsi="David" w:cs="David"/>
          <w:b/>
          <w:bCs/>
          <w:rtl/>
        </w:rPr>
        <w:t>קביעת קריטריונים לדרך/פורמט אחידים להגשת הבקשה להפחתת ערבות בנקאית</w:t>
      </w:r>
      <w:r w:rsidR="009F4573">
        <w:rPr>
          <w:rFonts w:ascii="David" w:eastAsiaTheme="minorHAnsi" w:hAnsi="David" w:cs="David" w:hint="cs"/>
          <w:b/>
          <w:bCs/>
          <w:rtl/>
        </w:rPr>
        <w:t>, בהינתן טעמים מיוחדים המצדיקים זאת</w:t>
      </w:r>
      <w:r w:rsidRPr="00722E55">
        <w:rPr>
          <w:rFonts w:ascii="David" w:eastAsiaTheme="minorHAnsi" w:hAnsi="David" w:cs="David"/>
          <w:b/>
          <w:bCs/>
          <w:rtl/>
        </w:rPr>
        <w:t>.</w:t>
      </w:r>
    </w:p>
    <w:p w:rsidR="00722E55" w:rsidRPr="00722E55" w:rsidRDefault="00722E55" w:rsidP="00722E55">
      <w:pPr>
        <w:pStyle w:val="a9"/>
        <w:numPr>
          <w:ilvl w:val="0"/>
          <w:numId w:val="2"/>
        </w:numPr>
        <w:ind w:left="1132"/>
        <w:contextualSpacing w:val="0"/>
        <w:rPr>
          <w:rFonts w:ascii="David" w:eastAsiaTheme="minorHAnsi" w:hAnsi="David" w:cs="David"/>
          <w:b/>
          <w:bCs/>
          <w:rtl/>
        </w:rPr>
      </w:pPr>
      <w:r w:rsidRPr="00722E55">
        <w:rPr>
          <w:rFonts w:ascii="David" w:eastAsiaTheme="minorHAnsi" w:hAnsi="David" w:cs="David"/>
          <w:b/>
          <w:bCs/>
          <w:rtl/>
        </w:rPr>
        <w:t>קביעת שיקולים ופרמטרים שיהוו בסיס לקבלת החלטה עפ"י מדיניות שוויונית ואחידה.</w:t>
      </w:r>
    </w:p>
    <w:p w:rsidR="00722E55" w:rsidRPr="00722E55" w:rsidRDefault="00722E55" w:rsidP="00722E55">
      <w:pPr>
        <w:ind w:left="357"/>
        <w:rPr>
          <w:rFonts w:ascii="David" w:eastAsiaTheme="minorHAnsi" w:hAnsi="David" w:cs="David"/>
          <w:b/>
          <w:bCs/>
          <w:u w:val="single"/>
          <w:rtl/>
        </w:rPr>
      </w:pPr>
    </w:p>
    <w:p w:rsidR="00722E55" w:rsidRPr="00722E55" w:rsidRDefault="00722E55" w:rsidP="00722E55">
      <w:pPr>
        <w:pStyle w:val="a9"/>
        <w:numPr>
          <w:ilvl w:val="0"/>
          <w:numId w:val="3"/>
        </w:numPr>
        <w:rPr>
          <w:rFonts w:ascii="David" w:eastAsiaTheme="minorHAnsi" w:hAnsi="David" w:cs="David"/>
          <w:b/>
          <w:bCs/>
          <w:u w:val="single"/>
          <w:rtl/>
        </w:rPr>
      </w:pPr>
      <w:r w:rsidRPr="00722E55">
        <w:rPr>
          <w:rFonts w:ascii="David" w:eastAsiaTheme="minorHAnsi" w:hAnsi="David" w:cs="David"/>
          <w:b/>
          <w:bCs/>
          <w:u w:val="single"/>
          <w:rtl/>
        </w:rPr>
        <w:t>תנאי סף להגשת בקשה להפחתת ערבות בנקאית</w:t>
      </w:r>
      <w:r w:rsidR="009F4573">
        <w:rPr>
          <w:rFonts w:ascii="David" w:eastAsiaTheme="minorHAnsi" w:hAnsi="David" w:cs="David" w:hint="cs"/>
          <w:b/>
          <w:bCs/>
          <w:u w:val="single"/>
          <w:rtl/>
        </w:rPr>
        <w:t>:</w:t>
      </w:r>
    </w:p>
    <w:p w:rsidR="00722E55" w:rsidRPr="00722E55" w:rsidRDefault="00722E55" w:rsidP="009F4573">
      <w:pPr>
        <w:ind w:firstLine="717"/>
        <w:rPr>
          <w:rFonts w:ascii="David" w:eastAsiaTheme="minorHAnsi" w:hAnsi="David" w:cs="David"/>
          <w:rtl/>
        </w:rPr>
      </w:pPr>
      <w:r w:rsidRPr="00722E55">
        <w:rPr>
          <w:rFonts w:ascii="David" w:eastAsiaTheme="minorHAnsi" w:hAnsi="David" w:cs="David"/>
          <w:rtl/>
        </w:rPr>
        <w:t xml:space="preserve">המעוניין להגיש בקשה להפחתת הערבות הבנקאית נדרש לצרף </w:t>
      </w:r>
      <w:r w:rsidR="009F4573">
        <w:rPr>
          <w:rFonts w:ascii="David" w:eastAsiaTheme="minorHAnsi" w:hAnsi="David" w:cs="David" w:hint="cs"/>
          <w:rtl/>
        </w:rPr>
        <w:t>אסמכתאות לקיומו של טעם מיוחד המצדיק את ההפחתה המבוקשת ולרבות</w:t>
      </w:r>
      <w:r w:rsidRPr="00722E55">
        <w:rPr>
          <w:rFonts w:ascii="David" w:eastAsiaTheme="minorHAnsi" w:hAnsi="David" w:cs="David"/>
          <w:rtl/>
        </w:rPr>
        <w:t>:</w:t>
      </w:r>
    </w:p>
    <w:p w:rsidR="00722E55" w:rsidRPr="00722E55" w:rsidRDefault="009F4573" w:rsidP="00722E55">
      <w:pPr>
        <w:pStyle w:val="a9"/>
        <w:numPr>
          <w:ilvl w:val="0"/>
          <w:numId w:val="2"/>
        </w:numPr>
        <w:ind w:left="1132"/>
        <w:contextualSpacing w:val="0"/>
        <w:rPr>
          <w:rFonts w:ascii="David" w:eastAsiaTheme="minorHAnsi" w:hAnsi="David" w:cs="David"/>
          <w:b/>
          <w:bCs/>
        </w:rPr>
      </w:pPr>
      <w:r>
        <w:rPr>
          <w:rFonts w:ascii="David" w:eastAsiaTheme="minorHAnsi" w:hAnsi="David" w:cs="David"/>
          <w:b/>
          <w:bCs/>
          <w:rtl/>
        </w:rPr>
        <w:t xml:space="preserve">התייחסות להיקף הכנסות </w:t>
      </w:r>
      <w:r>
        <w:rPr>
          <w:rFonts w:ascii="David" w:eastAsiaTheme="minorHAnsi" w:hAnsi="David" w:cs="David" w:hint="cs"/>
          <w:b/>
          <w:bCs/>
          <w:rtl/>
        </w:rPr>
        <w:t xml:space="preserve">, </w:t>
      </w:r>
      <w:r>
        <w:rPr>
          <w:rFonts w:ascii="David" w:eastAsiaTheme="minorHAnsi" w:hAnsi="David" w:cs="David"/>
          <w:b/>
          <w:bCs/>
          <w:rtl/>
        </w:rPr>
        <w:t>לנכסים נוספים</w:t>
      </w:r>
      <w:r>
        <w:rPr>
          <w:rFonts w:ascii="David" w:eastAsiaTheme="minorHAnsi" w:hAnsi="David" w:cs="David" w:hint="cs"/>
          <w:b/>
          <w:bCs/>
          <w:rtl/>
        </w:rPr>
        <w:t>, מקורות הכנסה נוספים, נסיבות כלכליות / אישיות אחרות הרלוונטיות לבקשה.</w:t>
      </w:r>
    </w:p>
    <w:p w:rsidR="00722E55" w:rsidRPr="00722E55" w:rsidRDefault="00722E55" w:rsidP="00722E55">
      <w:pPr>
        <w:pStyle w:val="a9"/>
        <w:numPr>
          <w:ilvl w:val="0"/>
          <w:numId w:val="2"/>
        </w:numPr>
        <w:ind w:left="1132"/>
        <w:contextualSpacing w:val="0"/>
        <w:rPr>
          <w:rFonts w:ascii="David" w:eastAsiaTheme="minorHAnsi" w:hAnsi="David" w:cs="David"/>
          <w:b/>
          <w:bCs/>
          <w:rtl/>
        </w:rPr>
      </w:pPr>
      <w:r w:rsidRPr="00722E55">
        <w:rPr>
          <w:rFonts w:ascii="David" w:eastAsiaTheme="minorHAnsi" w:hAnsi="David" w:cs="David"/>
          <w:b/>
          <w:bCs/>
          <w:rtl/>
        </w:rPr>
        <w:t>מס ' נפשות בבית (ילדים מתחת לגיל 18)</w:t>
      </w:r>
    </w:p>
    <w:p w:rsidR="00722E55" w:rsidRDefault="00722E55" w:rsidP="00722E55">
      <w:pPr>
        <w:pStyle w:val="a9"/>
        <w:numPr>
          <w:ilvl w:val="0"/>
          <w:numId w:val="2"/>
        </w:numPr>
        <w:ind w:left="1132"/>
        <w:contextualSpacing w:val="0"/>
        <w:rPr>
          <w:rFonts w:ascii="David" w:eastAsiaTheme="minorHAnsi" w:hAnsi="David" w:cs="David"/>
          <w:b/>
          <w:bCs/>
        </w:rPr>
      </w:pPr>
      <w:r w:rsidRPr="00722E55">
        <w:rPr>
          <w:rFonts w:ascii="David" w:eastAsiaTheme="minorHAnsi" w:hAnsi="David" w:cs="David"/>
          <w:b/>
          <w:bCs/>
          <w:rtl/>
        </w:rPr>
        <w:t>תצהיר מאומת ע"י עו"ד (או יו"ר רשות) לאימות כל העובדות הנ"ל.</w:t>
      </w:r>
    </w:p>
    <w:p w:rsidR="0098399B" w:rsidRDefault="0098399B" w:rsidP="0098399B">
      <w:pPr>
        <w:pStyle w:val="a9"/>
        <w:ind w:left="1132"/>
        <w:contextualSpacing w:val="0"/>
        <w:rPr>
          <w:rFonts w:ascii="David" w:eastAsiaTheme="minorHAnsi" w:hAnsi="David" w:cs="David"/>
          <w:b/>
          <w:bCs/>
        </w:rPr>
      </w:pPr>
    </w:p>
    <w:p w:rsidR="009D17D2" w:rsidRDefault="0098399B" w:rsidP="009D17D2">
      <w:pPr>
        <w:pStyle w:val="a9"/>
        <w:numPr>
          <w:ilvl w:val="0"/>
          <w:numId w:val="3"/>
        </w:numPr>
        <w:spacing w:line="360" w:lineRule="auto"/>
        <w:rPr>
          <w:rFonts w:ascii="David" w:eastAsiaTheme="minorHAnsi" w:hAnsi="David" w:cs="David"/>
          <w:b/>
          <w:bCs/>
        </w:rPr>
      </w:pPr>
      <w:r>
        <w:rPr>
          <w:rFonts w:ascii="David" w:eastAsiaTheme="minorHAnsi" w:hAnsi="David" w:cs="David" w:hint="cs"/>
          <w:b/>
          <w:bCs/>
          <w:rtl/>
        </w:rPr>
        <w:t xml:space="preserve">לאחר בדיקת הנתונים שהוגשו ע"י המבקש בהתאם לסעיף 2 </w:t>
      </w:r>
      <w:r w:rsidR="009D17D2">
        <w:rPr>
          <w:rFonts w:ascii="David" w:eastAsiaTheme="minorHAnsi" w:hAnsi="David" w:cs="David" w:hint="cs"/>
          <w:b/>
          <w:bCs/>
          <w:rtl/>
        </w:rPr>
        <w:t xml:space="preserve">רשאית הועדה </w:t>
      </w:r>
      <w:r>
        <w:rPr>
          <w:rFonts w:ascii="David" w:eastAsiaTheme="minorHAnsi" w:hAnsi="David" w:cs="David" w:hint="cs"/>
          <w:b/>
          <w:bCs/>
          <w:rtl/>
        </w:rPr>
        <w:t>ועל פי שיקול דעת</w:t>
      </w:r>
      <w:r w:rsidR="009D17D2">
        <w:rPr>
          <w:rFonts w:ascii="David" w:eastAsiaTheme="minorHAnsi" w:hAnsi="David" w:cs="David" w:hint="cs"/>
          <w:b/>
          <w:bCs/>
          <w:rtl/>
        </w:rPr>
        <w:t>ה</w:t>
      </w:r>
      <w:r w:rsidR="00FD67B1">
        <w:rPr>
          <w:rFonts w:ascii="David" w:eastAsiaTheme="minorHAnsi" w:hAnsi="David" w:cs="David" w:hint="cs"/>
          <w:b/>
          <w:bCs/>
          <w:rtl/>
        </w:rPr>
        <w:t xml:space="preserve"> בלבד לקבל או לדחות </w:t>
      </w:r>
      <w:r w:rsidR="009D17D2">
        <w:rPr>
          <w:rFonts w:ascii="David" w:eastAsiaTheme="minorHAnsi" w:hAnsi="David" w:cs="David" w:hint="cs"/>
          <w:b/>
          <w:bCs/>
          <w:rtl/>
        </w:rPr>
        <w:t>את הבקשה להפחתת הערבות.</w:t>
      </w:r>
    </w:p>
    <w:p w:rsidR="00722E55" w:rsidRPr="00657B1B" w:rsidRDefault="009D17D2" w:rsidP="00657B1B">
      <w:pPr>
        <w:pStyle w:val="a9"/>
        <w:spacing w:line="360" w:lineRule="auto"/>
        <w:ind w:left="717"/>
        <w:rPr>
          <w:rFonts w:ascii="David" w:eastAsiaTheme="minorHAnsi" w:hAnsi="David" w:cs="David"/>
          <w:b/>
          <w:bCs/>
          <w:rtl/>
        </w:rPr>
      </w:pPr>
      <w:r>
        <w:rPr>
          <w:rFonts w:ascii="David" w:eastAsiaTheme="minorHAnsi" w:hAnsi="David" w:cs="David" w:hint="cs"/>
          <w:b/>
          <w:bCs/>
          <w:rtl/>
        </w:rPr>
        <w:t xml:space="preserve"> במידה והועדה תחליט כן לענות בחיוב להפחתת הערבות , שעור</w:t>
      </w:r>
      <w:r w:rsidR="00657B1B">
        <w:rPr>
          <w:rFonts w:ascii="David" w:eastAsiaTheme="minorHAnsi" w:hAnsi="David" w:cs="David" w:hint="cs"/>
          <w:b/>
          <w:bCs/>
          <w:rtl/>
        </w:rPr>
        <w:t xml:space="preserve"> ההפחתה ייקבע בהתאם לטבלה שלהלן:</w:t>
      </w:r>
    </w:p>
    <w:p w:rsidR="00722E55" w:rsidRPr="00722E55" w:rsidRDefault="00722E55" w:rsidP="00722E55">
      <w:pPr>
        <w:ind w:left="357"/>
        <w:rPr>
          <w:rFonts w:ascii="David" w:eastAsiaTheme="minorHAnsi" w:hAnsi="David" w:cs="David"/>
          <w:b/>
          <w:bCs/>
          <w:u w:val="single"/>
        </w:rPr>
      </w:pPr>
    </w:p>
    <w:tbl>
      <w:tblPr>
        <w:tblStyle w:val="af2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722E55" w:rsidRPr="00722E55" w:rsidTr="00337D39">
        <w:tc>
          <w:tcPr>
            <w:tcW w:w="4261" w:type="dxa"/>
            <w:shd w:val="clear" w:color="auto" w:fill="F2F2F2" w:themeFill="background1" w:themeFillShade="F2"/>
          </w:tcPr>
          <w:p w:rsidR="00722E55" w:rsidRPr="00722E55" w:rsidRDefault="00722E55" w:rsidP="00337D39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722E55">
              <w:rPr>
                <w:rFonts w:ascii="David" w:hAnsi="David" w:cs="David"/>
                <w:b/>
                <w:bCs/>
                <w:color w:val="0E2841" w:themeColor="text2"/>
                <w:rtl/>
              </w:rPr>
              <w:t>שיקולים</w:t>
            </w:r>
            <w:r w:rsidR="009F4573">
              <w:rPr>
                <w:rFonts w:ascii="David" w:hAnsi="David" w:cs="David" w:hint="cs"/>
                <w:b/>
                <w:bCs/>
                <w:rtl/>
              </w:rPr>
              <w:t xml:space="preserve"> בקבלת ההחלטה</w:t>
            </w:r>
          </w:p>
        </w:tc>
        <w:tc>
          <w:tcPr>
            <w:tcW w:w="4261" w:type="dxa"/>
            <w:shd w:val="clear" w:color="auto" w:fill="F2F2F2" w:themeFill="background1" w:themeFillShade="F2"/>
          </w:tcPr>
          <w:p w:rsidR="00722E55" w:rsidRPr="00722E55" w:rsidRDefault="00722E55" w:rsidP="00337D39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722E55">
              <w:rPr>
                <w:rFonts w:ascii="David" w:hAnsi="David" w:cs="David"/>
                <w:b/>
                <w:bCs/>
                <w:rtl/>
              </w:rPr>
              <w:t>יישום/תכולה</w:t>
            </w:r>
          </w:p>
        </w:tc>
      </w:tr>
      <w:tr w:rsidR="00722E55" w:rsidRPr="00722E55" w:rsidTr="00337D39">
        <w:tc>
          <w:tcPr>
            <w:tcW w:w="4261" w:type="dxa"/>
            <w:shd w:val="clear" w:color="auto" w:fill="F2F2F2" w:themeFill="background1" w:themeFillShade="F2"/>
          </w:tcPr>
          <w:p w:rsidR="00722E55" w:rsidRPr="00722E55" w:rsidRDefault="00722E55" w:rsidP="00722E55">
            <w:pPr>
              <w:spacing w:before="120" w:after="120" w:line="360" w:lineRule="auto"/>
              <w:rPr>
                <w:rFonts w:ascii="David" w:hAnsi="David" w:cs="David"/>
                <w:b/>
                <w:bCs/>
                <w:rtl/>
              </w:rPr>
            </w:pPr>
            <w:r w:rsidRPr="00722E55">
              <w:rPr>
                <w:rFonts w:ascii="David" w:hAnsi="David" w:cs="David"/>
                <w:b/>
                <w:bCs/>
                <w:color w:val="0E2841" w:themeColor="text2"/>
                <w:rtl/>
              </w:rPr>
              <w:t>מהות הבקשה והשימוש המבוקשים</w:t>
            </w:r>
          </w:p>
        </w:tc>
        <w:tc>
          <w:tcPr>
            <w:tcW w:w="4261" w:type="dxa"/>
          </w:tcPr>
          <w:p w:rsidR="00722E55" w:rsidRPr="00722E55" w:rsidRDefault="00722E55" w:rsidP="009F4573">
            <w:pPr>
              <w:spacing w:before="120" w:after="120" w:line="360" w:lineRule="auto"/>
              <w:rPr>
                <w:rFonts w:ascii="David" w:hAnsi="David" w:cs="David"/>
                <w:rtl/>
              </w:rPr>
            </w:pPr>
            <w:r w:rsidRPr="00722E55">
              <w:rPr>
                <w:rFonts w:ascii="David" w:hAnsi="David" w:cs="David"/>
                <w:b/>
                <w:bCs/>
                <w:rtl/>
              </w:rPr>
              <w:t>למטרת מגורים</w:t>
            </w:r>
            <w:r w:rsidR="009F4573">
              <w:rPr>
                <w:rFonts w:ascii="David" w:hAnsi="David" w:cs="David" w:hint="cs"/>
                <w:b/>
                <w:bCs/>
                <w:rtl/>
              </w:rPr>
              <w:t xml:space="preserve"> עם זכויות של </w:t>
            </w:r>
            <w:r w:rsidR="00884609">
              <w:rPr>
                <w:rFonts w:ascii="David" w:hAnsi="David" w:cs="David" w:hint="cs"/>
                <w:b/>
                <w:bCs/>
                <w:rtl/>
              </w:rPr>
              <w:t xml:space="preserve">מסחר </w:t>
            </w:r>
            <w:r w:rsidR="009F4573">
              <w:rPr>
                <w:rFonts w:ascii="David" w:hAnsi="David" w:cs="David" w:hint="cs"/>
                <w:b/>
                <w:bCs/>
                <w:rtl/>
              </w:rPr>
              <w:t>עד</w:t>
            </w:r>
            <w:r w:rsidR="00884609">
              <w:rPr>
                <w:rFonts w:ascii="David" w:hAnsi="David" w:cs="David" w:hint="cs"/>
                <w:b/>
                <w:bCs/>
                <w:rtl/>
              </w:rPr>
              <w:t xml:space="preserve"> 30 מ"ר</w:t>
            </w:r>
            <w:r w:rsidRPr="00722E55">
              <w:rPr>
                <w:rFonts w:ascii="David" w:hAnsi="David" w:cs="David"/>
                <w:rtl/>
              </w:rPr>
              <w:t xml:space="preserve"> (לרבות לגליזציה) </w:t>
            </w:r>
            <w:r w:rsidR="009F4573">
              <w:rPr>
                <w:rFonts w:ascii="David" w:hAnsi="David" w:cs="David" w:hint="cs"/>
                <w:b/>
                <w:bCs/>
                <w:rtl/>
              </w:rPr>
              <w:t>, כאשר הגישה ככלל תהיה פרגמאטית.</w:t>
            </w:r>
          </w:p>
        </w:tc>
      </w:tr>
      <w:tr w:rsidR="00722E55" w:rsidRPr="00722E55" w:rsidTr="00337D39">
        <w:tc>
          <w:tcPr>
            <w:tcW w:w="4261" w:type="dxa"/>
            <w:shd w:val="clear" w:color="auto" w:fill="F2F2F2" w:themeFill="background1" w:themeFillShade="F2"/>
          </w:tcPr>
          <w:p w:rsidR="00722E55" w:rsidRPr="00722E55" w:rsidRDefault="00722E55" w:rsidP="00337D39">
            <w:pPr>
              <w:spacing w:before="120" w:after="120"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261" w:type="dxa"/>
          </w:tcPr>
          <w:p w:rsidR="00722E55" w:rsidRPr="00657B1B" w:rsidRDefault="00722E55" w:rsidP="00337D39">
            <w:pPr>
              <w:spacing w:before="120" w:after="12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57B1B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בבקשה ללגליזציה בלבד</w:t>
            </w:r>
            <w:r w:rsidRPr="00657B1B">
              <w:rPr>
                <w:rFonts w:ascii="David" w:hAnsi="David" w:cs="David"/>
                <w:sz w:val="22"/>
                <w:szCs w:val="22"/>
                <w:rtl/>
              </w:rPr>
              <w:t xml:space="preserve"> שאינה כוללת הריסת מבנים או חלק ממבנה - ניתן לבחון הפחתה מרבית </w:t>
            </w:r>
            <w:r w:rsidR="00884609" w:rsidRPr="00657B1B">
              <w:rPr>
                <w:rFonts w:ascii="David" w:hAnsi="David" w:cs="David" w:hint="cs"/>
                <w:sz w:val="22"/>
                <w:szCs w:val="22"/>
                <w:rtl/>
              </w:rPr>
              <w:t>או ביטול.</w:t>
            </w:r>
          </w:p>
        </w:tc>
      </w:tr>
      <w:tr w:rsidR="00722E55" w:rsidRPr="00722E55" w:rsidTr="00337D39">
        <w:tc>
          <w:tcPr>
            <w:tcW w:w="4261" w:type="dxa"/>
            <w:shd w:val="clear" w:color="auto" w:fill="F2F2F2" w:themeFill="background1" w:themeFillShade="F2"/>
          </w:tcPr>
          <w:p w:rsidR="00722E55" w:rsidRPr="00722E55" w:rsidRDefault="00722E55" w:rsidP="00337D39">
            <w:pPr>
              <w:spacing w:before="120" w:after="120"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261" w:type="dxa"/>
          </w:tcPr>
          <w:p w:rsidR="00722E55" w:rsidRPr="00657B1B" w:rsidRDefault="00722E55" w:rsidP="00337D39">
            <w:pPr>
              <w:spacing w:before="120" w:after="12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57B1B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לגליזציה שכוללת הריסת מבנים</w:t>
            </w:r>
            <w:r w:rsidRPr="00657B1B">
              <w:rPr>
                <w:rFonts w:ascii="David" w:hAnsi="David" w:cs="David"/>
                <w:sz w:val="22"/>
                <w:szCs w:val="22"/>
                <w:rtl/>
              </w:rPr>
              <w:t xml:space="preserve"> או חלק ממבנה כתנאי לאישור- היקף ההריסה יובא במניין השיקולים</w:t>
            </w:r>
          </w:p>
        </w:tc>
      </w:tr>
      <w:tr w:rsidR="00722E55" w:rsidRPr="00722E55" w:rsidTr="00337D39">
        <w:tc>
          <w:tcPr>
            <w:tcW w:w="4261" w:type="dxa"/>
            <w:shd w:val="clear" w:color="auto" w:fill="F2F2F2" w:themeFill="background1" w:themeFillShade="F2"/>
          </w:tcPr>
          <w:p w:rsidR="00722E55" w:rsidRPr="00722E55" w:rsidRDefault="00722E55" w:rsidP="00337D39">
            <w:pPr>
              <w:spacing w:before="120" w:after="120" w:line="360" w:lineRule="auto"/>
              <w:rPr>
                <w:rFonts w:ascii="David" w:hAnsi="David" w:cs="David"/>
                <w:b/>
                <w:bCs/>
                <w:color w:val="0E2841" w:themeColor="text2"/>
                <w:rtl/>
              </w:rPr>
            </w:pPr>
            <w:r w:rsidRPr="00722E55">
              <w:rPr>
                <w:rFonts w:ascii="David" w:hAnsi="David" w:cs="David" w:hint="cs"/>
                <w:b/>
                <w:bCs/>
                <w:color w:val="0E2841" w:themeColor="text2"/>
                <w:rtl/>
              </w:rPr>
              <w:t>היבטים תכנוניים</w:t>
            </w:r>
          </w:p>
        </w:tc>
        <w:tc>
          <w:tcPr>
            <w:tcW w:w="4261" w:type="dxa"/>
          </w:tcPr>
          <w:p w:rsidR="00473AA1" w:rsidRPr="00657B1B" w:rsidRDefault="00473AA1" w:rsidP="00473AA1">
            <w:pPr>
              <w:spacing w:before="120" w:after="120" w:line="360" w:lineRule="auto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57B1B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במקרה שהבקשה כולל הפרות תכנוניות ואחרות לא תופחת הערבות ביותר מ </w:t>
            </w:r>
            <w:r w:rsidRPr="00657B1B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–</w:t>
            </w:r>
            <w:r w:rsidRPr="00657B1B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 50%, למשל </w:t>
            </w:r>
            <w:r w:rsidRPr="00657B1B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–</w:t>
            </w:r>
            <w:r w:rsidRPr="00657B1B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73AA1" w:rsidRPr="00657B1B" w:rsidRDefault="00473AA1" w:rsidP="00473AA1">
            <w:pPr>
              <w:spacing w:before="120" w:after="120" w:line="360" w:lineRule="auto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57B1B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קיימות חר</w:t>
            </w:r>
            <w:r w:rsidR="00B224E4" w:rsidRPr="00657B1B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יגות </w:t>
            </w:r>
            <w:r w:rsidRPr="00657B1B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בנייה </w:t>
            </w:r>
            <w:r w:rsidR="00B224E4" w:rsidRPr="00657B1B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שמסומנות להריסה בהיקף של למעלה מ </w:t>
            </w:r>
            <w:r w:rsidR="00B224E4" w:rsidRPr="00657B1B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–</w:t>
            </w:r>
            <w:r w:rsidR="00B224E4" w:rsidRPr="00657B1B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 30 מ"ר;</w:t>
            </w:r>
          </w:p>
          <w:p w:rsidR="00B224E4" w:rsidRPr="00657B1B" w:rsidRDefault="00B224E4" w:rsidP="00473AA1">
            <w:pPr>
              <w:spacing w:before="120" w:after="120" w:line="360" w:lineRule="auto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57B1B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הבקשה כוללת שינויים פנימיים מהותיים (כגון מדרגות פנימיות);</w:t>
            </w:r>
          </w:p>
          <w:p w:rsidR="00473AA1" w:rsidRPr="00657B1B" w:rsidRDefault="00473AA1" w:rsidP="00473AA1">
            <w:pPr>
              <w:spacing w:before="120" w:after="120" w:line="360" w:lineRule="auto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57B1B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קיימות חריגות מת</w:t>
            </w:r>
            <w:r w:rsidR="00B224E4" w:rsidRPr="00657B1B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ו</w:t>
            </w:r>
            <w:r w:rsidRPr="00657B1B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כנית להסדרה: כגון חריגה מקו בניין, מגובה וכיוב', </w:t>
            </w:r>
          </w:p>
          <w:p w:rsidR="00473AA1" w:rsidRPr="00657B1B" w:rsidRDefault="00473AA1" w:rsidP="00473AA1">
            <w:pPr>
              <w:spacing w:before="120" w:after="120" w:line="360" w:lineRule="auto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57B1B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קיימים שימושים אסורים</w:t>
            </w:r>
            <w:r w:rsidR="00B224E4" w:rsidRPr="00657B1B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;</w:t>
            </w:r>
          </w:p>
        </w:tc>
      </w:tr>
      <w:tr w:rsidR="00722E55" w:rsidRPr="00722E55" w:rsidTr="00337D39">
        <w:tc>
          <w:tcPr>
            <w:tcW w:w="4261" w:type="dxa"/>
            <w:shd w:val="clear" w:color="auto" w:fill="F2F2F2" w:themeFill="background1" w:themeFillShade="F2"/>
          </w:tcPr>
          <w:p w:rsidR="00722E55" w:rsidRPr="00722E55" w:rsidRDefault="009F4573" w:rsidP="009F4573">
            <w:pPr>
              <w:spacing w:before="120" w:after="120" w:line="360" w:lineRule="auto"/>
              <w:rPr>
                <w:rFonts w:ascii="David" w:hAnsi="David" w:cs="David"/>
                <w:b/>
                <w:bCs/>
                <w:color w:val="0E2841" w:themeColor="text2"/>
                <w:rtl/>
              </w:rPr>
            </w:pPr>
            <w:r w:rsidRPr="00657B1B">
              <w:rPr>
                <w:rFonts w:ascii="David" w:hAnsi="David" w:cs="David" w:hint="cs"/>
                <w:b/>
                <w:bCs/>
                <w:sz w:val="22"/>
                <w:szCs w:val="22"/>
                <w:u w:val="single"/>
                <w:rtl/>
              </w:rPr>
              <w:t>עקרונות כלליים</w:t>
            </w:r>
            <w:r>
              <w:rPr>
                <w:rFonts w:ascii="David" w:hAnsi="David" w:cs="David" w:hint="cs"/>
                <w:b/>
                <w:bCs/>
                <w:color w:val="0E2841" w:themeColor="text2"/>
                <w:rtl/>
              </w:rPr>
              <w:t>:</w:t>
            </w:r>
          </w:p>
        </w:tc>
        <w:tc>
          <w:tcPr>
            <w:tcW w:w="4261" w:type="dxa"/>
          </w:tcPr>
          <w:p w:rsidR="009F4573" w:rsidRDefault="009F4573" w:rsidP="00722E55">
            <w:pPr>
              <w:pStyle w:val="a9"/>
              <w:numPr>
                <w:ilvl w:val="0"/>
                <w:numId w:val="5"/>
              </w:numPr>
              <w:spacing w:line="360" w:lineRule="auto"/>
              <w:rPr>
                <w:rFonts w:ascii="David" w:hAnsi="David" w:cs="David"/>
                <w:b/>
                <w:bCs/>
                <w:sz w:val="22"/>
                <w:szCs w:val="22"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יש להוכיח קושי כלכלי/ אישי המהווה טעם מיוחד המצדיק הפחתה.</w:t>
            </w:r>
          </w:p>
          <w:p w:rsidR="00722E55" w:rsidRPr="00657B1B" w:rsidRDefault="00722E55" w:rsidP="00722E55">
            <w:pPr>
              <w:pStyle w:val="a9"/>
              <w:numPr>
                <w:ilvl w:val="0"/>
                <w:numId w:val="5"/>
              </w:numPr>
              <w:spacing w:line="360" w:lineRule="auto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57B1B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ככל שהיקף הבניה נרחב יותר הנטייה לאשר </w:t>
            </w:r>
            <w:r w:rsidR="009F4573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–</w:t>
            </w:r>
            <w:r w:rsidRPr="00657B1B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תפחת</w:t>
            </w:r>
            <w:r w:rsidR="009F4573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.</w:t>
            </w:r>
          </w:p>
          <w:p w:rsidR="00722E55" w:rsidRPr="00657B1B" w:rsidRDefault="00722E55" w:rsidP="00722E55">
            <w:pPr>
              <w:pStyle w:val="a9"/>
              <w:numPr>
                <w:ilvl w:val="0"/>
                <w:numId w:val="5"/>
              </w:numPr>
              <w:spacing w:line="360" w:lineRule="auto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 w:rsidRPr="00657B1B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אין הכרח לאשר הפחתה כלל</w:t>
            </w:r>
          </w:p>
        </w:tc>
      </w:tr>
      <w:tr w:rsidR="00722E55" w:rsidRPr="00722E55" w:rsidTr="00337D39">
        <w:tc>
          <w:tcPr>
            <w:tcW w:w="4261" w:type="dxa"/>
            <w:shd w:val="clear" w:color="auto" w:fill="F2F2F2" w:themeFill="background1" w:themeFillShade="F2"/>
          </w:tcPr>
          <w:p w:rsidR="00722E55" w:rsidRPr="00722E55" w:rsidRDefault="00722E55" w:rsidP="00337D39">
            <w:pPr>
              <w:spacing w:before="120" w:after="120" w:line="360" w:lineRule="auto"/>
              <w:rPr>
                <w:rFonts w:ascii="David" w:hAnsi="David" w:cs="David"/>
                <w:b/>
                <w:bCs/>
                <w:color w:val="0E2841" w:themeColor="text2"/>
                <w:rtl/>
              </w:rPr>
            </w:pPr>
          </w:p>
        </w:tc>
        <w:tc>
          <w:tcPr>
            <w:tcW w:w="4261" w:type="dxa"/>
          </w:tcPr>
          <w:p w:rsidR="00722E55" w:rsidRPr="00657B1B" w:rsidRDefault="00722E55" w:rsidP="009F4573">
            <w:pPr>
              <w:spacing w:before="120" w:after="12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57B1B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עד 50 מ"ר</w:t>
            </w:r>
            <w:r w:rsidRPr="00657B1B">
              <w:rPr>
                <w:rFonts w:ascii="David" w:hAnsi="David" w:cs="David"/>
                <w:sz w:val="22"/>
                <w:szCs w:val="22"/>
                <w:rtl/>
              </w:rPr>
              <w:t xml:space="preserve"> ניתן להפחית ערבות הפחתה עד לסכום מינימלי של  </w:t>
            </w:r>
            <w:r w:rsidR="009F4573">
              <w:rPr>
                <w:rFonts w:ascii="David" w:hAnsi="David" w:cs="David"/>
                <w:sz w:val="22"/>
                <w:szCs w:val="22"/>
                <w:rtl/>
              </w:rPr>
              <w:t xml:space="preserve"> 5,000</w:t>
            </w:r>
            <w:r w:rsidR="009F4573">
              <w:rPr>
                <w:rFonts w:ascii="David" w:hAnsi="David" w:cs="David" w:hint="cs"/>
                <w:sz w:val="22"/>
                <w:szCs w:val="22"/>
                <w:rtl/>
              </w:rPr>
              <w:t xml:space="preserve"> ש"ח</w:t>
            </w:r>
          </w:p>
          <w:p w:rsidR="00657B1B" w:rsidRPr="00657B1B" w:rsidRDefault="00657B1B" w:rsidP="009F4573">
            <w:pPr>
              <w:spacing w:before="120" w:after="12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57B1B">
              <w:rPr>
                <w:rFonts w:ascii="David" w:hAnsi="David" w:cs="David" w:hint="cs"/>
                <w:sz w:val="22"/>
                <w:szCs w:val="22"/>
                <w:rtl/>
              </w:rPr>
              <w:t>(בתנאי שלא כולל הריסות</w:t>
            </w:r>
            <w:r w:rsidR="009F4573">
              <w:rPr>
                <w:rFonts w:ascii="David" w:hAnsi="David" w:cs="David" w:hint="cs"/>
                <w:sz w:val="22"/>
                <w:szCs w:val="22"/>
                <w:rtl/>
              </w:rPr>
              <w:t xml:space="preserve">) </w:t>
            </w:r>
          </w:p>
          <w:p w:rsidR="00657B1B" w:rsidRPr="00657B1B" w:rsidRDefault="00657B1B" w:rsidP="00657B1B">
            <w:pPr>
              <w:spacing w:before="120" w:after="12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57B1B">
              <w:rPr>
                <w:rFonts w:ascii="David" w:hAnsi="David" w:cs="David"/>
                <w:sz w:val="22"/>
                <w:szCs w:val="22"/>
                <w:rtl/>
              </w:rPr>
              <w:t>אין הכרח לאשר הפחתה כלל</w:t>
            </w:r>
          </w:p>
        </w:tc>
      </w:tr>
      <w:tr w:rsidR="00722E55" w:rsidRPr="00722E55" w:rsidTr="00337D39">
        <w:tc>
          <w:tcPr>
            <w:tcW w:w="4261" w:type="dxa"/>
            <w:shd w:val="clear" w:color="auto" w:fill="F2F2F2" w:themeFill="background1" w:themeFillShade="F2"/>
          </w:tcPr>
          <w:p w:rsidR="00722E55" w:rsidRPr="00722E55" w:rsidRDefault="00722E55" w:rsidP="00337D39">
            <w:pPr>
              <w:spacing w:before="120" w:after="120" w:line="360" w:lineRule="auto"/>
              <w:rPr>
                <w:rFonts w:ascii="David" w:hAnsi="David" w:cs="David"/>
                <w:b/>
                <w:bCs/>
                <w:color w:val="0E2841" w:themeColor="text2"/>
                <w:rtl/>
              </w:rPr>
            </w:pPr>
          </w:p>
        </w:tc>
        <w:tc>
          <w:tcPr>
            <w:tcW w:w="4261" w:type="dxa"/>
          </w:tcPr>
          <w:p w:rsidR="00722E55" w:rsidRPr="00657B1B" w:rsidRDefault="00722E55" w:rsidP="009F4573">
            <w:pPr>
              <w:spacing w:before="120" w:after="12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57B1B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עד 100 מ"ר</w:t>
            </w:r>
            <w:r w:rsidRPr="00657B1B">
              <w:rPr>
                <w:rFonts w:ascii="David" w:hAnsi="David" w:cs="David"/>
                <w:sz w:val="22"/>
                <w:szCs w:val="22"/>
                <w:rtl/>
              </w:rPr>
              <w:t xml:space="preserve"> – הפחתת ערבות מירבית לא תעלה על </w:t>
            </w:r>
            <w:r w:rsidR="009F4573">
              <w:rPr>
                <w:rFonts w:ascii="David" w:hAnsi="David" w:cs="David" w:hint="cs"/>
                <w:sz w:val="22"/>
                <w:szCs w:val="22"/>
                <w:rtl/>
              </w:rPr>
              <w:t>7</w:t>
            </w:r>
            <w:r w:rsidRPr="00657B1B">
              <w:rPr>
                <w:rFonts w:ascii="David" w:hAnsi="David" w:cs="David"/>
                <w:sz w:val="22"/>
                <w:szCs w:val="22"/>
                <w:rtl/>
              </w:rPr>
              <w:t xml:space="preserve">0% </w:t>
            </w:r>
            <w:r w:rsidR="009F4573">
              <w:rPr>
                <w:rFonts w:ascii="David" w:hAnsi="David" w:cs="David" w:hint="cs"/>
                <w:sz w:val="22"/>
                <w:szCs w:val="22"/>
                <w:rtl/>
              </w:rPr>
              <w:t>.</w:t>
            </w:r>
          </w:p>
          <w:p w:rsidR="00657B1B" w:rsidRPr="00657B1B" w:rsidRDefault="00657B1B" w:rsidP="00337D39">
            <w:pPr>
              <w:spacing w:before="120" w:after="12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57B1B">
              <w:rPr>
                <w:rFonts w:ascii="David" w:hAnsi="David" w:cs="David" w:hint="cs"/>
                <w:sz w:val="22"/>
                <w:szCs w:val="22"/>
                <w:rtl/>
              </w:rPr>
              <w:t>(בתנאי ש</w:t>
            </w:r>
            <w:r w:rsidR="009F4573">
              <w:rPr>
                <w:rFonts w:ascii="David" w:hAnsi="David" w:cs="David" w:hint="cs"/>
                <w:sz w:val="22"/>
                <w:szCs w:val="22"/>
                <w:rtl/>
              </w:rPr>
              <w:t xml:space="preserve">הבקשה </w:t>
            </w:r>
            <w:r w:rsidRPr="00657B1B">
              <w:rPr>
                <w:rFonts w:ascii="David" w:hAnsi="David" w:cs="David" w:hint="cs"/>
                <w:sz w:val="22"/>
                <w:szCs w:val="22"/>
                <w:rtl/>
              </w:rPr>
              <w:t>לא כולל</w:t>
            </w:r>
            <w:r w:rsidR="009F4573">
              <w:rPr>
                <w:rFonts w:ascii="David" w:hAnsi="David" w:cs="David" w:hint="cs"/>
                <w:sz w:val="22"/>
                <w:szCs w:val="22"/>
                <w:rtl/>
              </w:rPr>
              <w:t>ת צורך ב</w:t>
            </w:r>
            <w:r w:rsidRPr="00657B1B">
              <w:rPr>
                <w:rFonts w:ascii="David" w:hAnsi="David" w:cs="David" w:hint="cs"/>
                <w:sz w:val="22"/>
                <w:szCs w:val="22"/>
                <w:rtl/>
              </w:rPr>
              <w:t>הריסות</w:t>
            </w:r>
            <w:r w:rsidR="009F4573">
              <w:rPr>
                <w:rFonts w:ascii="David" w:hAnsi="David" w:cs="David" w:hint="cs"/>
                <w:sz w:val="22"/>
                <w:szCs w:val="22"/>
                <w:rtl/>
              </w:rPr>
              <w:t xml:space="preserve"> של למעלה מ- 10 מ"ר </w:t>
            </w:r>
            <w:r w:rsidRPr="00657B1B">
              <w:rPr>
                <w:rFonts w:ascii="David" w:hAnsi="David" w:cs="David" w:hint="cs"/>
                <w:sz w:val="22"/>
                <w:szCs w:val="22"/>
                <w:rtl/>
              </w:rPr>
              <w:t>)</w:t>
            </w:r>
          </w:p>
          <w:p w:rsidR="00657B1B" w:rsidRPr="00657B1B" w:rsidRDefault="00657B1B" w:rsidP="00337D39">
            <w:pPr>
              <w:spacing w:before="120" w:after="12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57B1B">
              <w:rPr>
                <w:rFonts w:ascii="David" w:hAnsi="David" w:cs="David"/>
                <w:sz w:val="22"/>
                <w:szCs w:val="22"/>
                <w:rtl/>
              </w:rPr>
              <w:t>אין הכרח לאשר הפחתה כלל</w:t>
            </w:r>
          </w:p>
        </w:tc>
      </w:tr>
      <w:tr w:rsidR="00722E55" w:rsidRPr="00722E55" w:rsidTr="00337D39">
        <w:tc>
          <w:tcPr>
            <w:tcW w:w="4261" w:type="dxa"/>
            <w:shd w:val="clear" w:color="auto" w:fill="F2F2F2" w:themeFill="background1" w:themeFillShade="F2"/>
          </w:tcPr>
          <w:p w:rsidR="00722E55" w:rsidRPr="00722E55" w:rsidRDefault="00722E55" w:rsidP="00337D39">
            <w:pPr>
              <w:spacing w:before="120" w:after="120" w:line="360" w:lineRule="auto"/>
              <w:rPr>
                <w:rFonts w:ascii="David" w:hAnsi="David" w:cs="David"/>
                <w:b/>
                <w:bCs/>
                <w:color w:val="0E2841" w:themeColor="text2"/>
                <w:rtl/>
              </w:rPr>
            </w:pPr>
          </w:p>
        </w:tc>
        <w:tc>
          <w:tcPr>
            <w:tcW w:w="4261" w:type="dxa"/>
          </w:tcPr>
          <w:p w:rsidR="00722E55" w:rsidRPr="00657B1B" w:rsidRDefault="00722E55" w:rsidP="00337D39">
            <w:pPr>
              <w:spacing w:before="120" w:after="12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57B1B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מעל 100 מ"ר</w:t>
            </w:r>
            <w:r w:rsidRPr="00657B1B">
              <w:rPr>
                <w:rFonts w:ascii="David" w:hAnsi="David" w:cs="David"/>
                <w:sz w:val="22"/>
                <w:szCs w:val="22"/>
                <w:rtl/>
              </w:rPr>
              <w:t xml:space="preserve"> – הפחתת ערבות מירבית לא תעלה על 50%</w:t>
            </w:r>
          </w:p>
          <w:p w:rsidR="00657B1B" w:rsidRPr="00657B1B" w:rsidRDefault="00657B1B" w:rsidP="00657B1B">
            <w:pPr>
              <w:spacing w:before="120" w:after="12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57B1B">
              <w:rPr>
                <w:rFonts w:ascii="David" w:hAnsi="David" w:cs="David" w:hint="cs"/>
                <w:sz w:val="22"/>
                <w:szCs w:val="22"/>
                <w:rtl/>
              </w:rPr>
              <w:t>(בתנאי ש</w:t>
            </w:r>
            <w:r w:rsidR="009F4573">
              <w:rPr>
                <w:rFonts w:ascii="David" w:hAnsi="David" w:cs="David" w:hint="cs"/>
                <w:sz w:val="22"/>
                <w:szCs w:val="22"/>
                <w:rtl/>
              </w:rPr>
              <w:t xml:space="preserve">הבקשה </w:t>
            </w:r>
            <w:r w:rsidRPr="00657B1B">
              <w:rPr>
                <w:rFonts w:ascii="David" w:hAnsi="David" w:cs="David" w:hint="cs"/>
                <w:sz w:val="22"/>
                <w:szCs w:val="22"/>
                <w:rtl/>
              </w:rPr>
              <w:t>לא כולל</w:t>
            </w:r>
            <w:r w:rsidR="009F4573">
              <w:rPr>
                <w:rFonts w:ascii="David" w:hAnsi="David" w:cs="David" w:hint="cs"/>
                <w:sz w:val="22"/>
                <w:szCs w:val="22"/>
                <w:rtl/>
              </w:rPr>
              <w:t>ת צורך</w:t>
            </w:r>
            <w:r w:rsidRPr="00657B1B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="009F4573">
              <w:rPr>
                <w:rFonts w:ascii="David" w:hAnsi="David" w:cs="David" w:hint="cs"/>
                <w:sz w:val="22"/>
                <w:szCs w:val="22"/>
                <w:rtl/>
              </w:rPr>
              <w:t>ב</w:t>
            </w:r>
            <w:r w:rsidRPr="00657B1B">
              <w:rPr>
                <w:rFonts w:ascii="David" w:hAnsi="David" w:cs="David" w:hint="cs"/>
                <w:sz w:val="22"/>
                <w:szCs w:val="22"/>
                <w:rtl/>
              </w:rPr>
              <w:t>הריסות</w:t>
            </w:r>
            <w:r w:rsidR="009F4573">
              <w:rPr>
                <w:rFonts w:ascii="David" w:hAnsi="David" w:cs="David" w:hint="cs"/>
                <w:sz w:val="22"/>
                <w:szCs w:val="22"/>
                <w:rtl/>
              </w:rPr>
              <w:t xml:space="preserve"> של למעלה מ-20 מ"ר</w:t>
            </w:r>
            <w:r w:rsidRPr="00657B1B">
              <w:rPr>
                <w:rFonts w:ascii="David" w:hAnsi="David" w:cs="David" w:hint="cs"/>
                <w:sz w:val="22"/>
                <w:szCs w:val="22"/>
                <w:rtl/>
              </w:rPr>
              <w:t>)</w:t>
            </w:r>
          </w:p>
          <w:p w:rsidR="00722E55" w:rsidRPr="00657B1B" w:rsidRDefault="00722E55" w:rsidP="00337D39">
            <w:pPr>
              <w:spacing w:before="120" w:after="120" w:line="360" w:lineRule="auto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57B1B">
              <w:rPr>
                <w:rFonts w:ascii="David" w:hAnsi="David" w:cs="David"/>
                <w:sz w:val="22"/>
                <w:szCs w:val="22"/>
                <w:rtl/>
              </w:rPr>
              <w:t>*אין הכרח לאשר הפחתה כלל</w:t>
            </w:r>
          </w:p>
        </w:tc>
      </w:tr>
      <w:tr w:rsidR="00722E55" w:rsidRPr="00722E55" w:rsidTr="00337D39">
        <w:tc>
          <w:tcPr>
            <w:tcW w:w="4261" w:type="dxa"/>
            <w:shd w:val="clear" w:color="auto" w:fill="F2F2F2" w:themeFill="background1" w:themeFillShade="F2"/>
          </w:tcPr>
          <w:p w:rsidR="00722E55" w:rsidRPr="00722E55" w:rsidRDefault="00722E55" w:rsidP="00337D39">
            <w:pPr>
              <w:spacing w:before="120" w:after="120" w:line="360" w:lineRule="auto"/>
              <w:rPr>
                <w:rFonts w:ascii="David" w:hAnsi="David" w:cs="David"/>
                <w:b/>
                <w:bCs/>
                <w:color w:val="0E2841" w:themeColor="text2"/>
                <w:rtl/>
              </w:rPr>
            </w:pPr>
          </w:p>
        </w:tc>
        <w:tc>
          <w:tcPr>
            <w:tcW w:w="4261" w:type="dxa"/>
          </w:tcPr>
          <w:p w:rsidR="00722E55" w:rsidRPr="00657B1B" w:rsidRDefault="00722E55" w:rsidP="00337D39">
            <w:pPr>
              <w:spacing w:before="120" w:after="12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57B1B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מעל 200 מ"ר</w:t>
            </w:r>
            <w:r w:rsidRPr="00657B1B">
              <w:rPr>
                <w:rFonts w:ascii="David" w:hAnsi="David" w:cs="David"/>
                <w:sz w:val="22"/>
                <w:szCs w:val="22"/>
                <w:rtl/>
              </w:rPr>
              <w:t xml:space="preserve"> – הפחתת ערבות מירבית לא תעלה על 25%</w:t>
            </w:r>
          </w:p>
          <w:p w:rsidR="00657B1B" w:rsidRPr="00657B1B" w:rsidRDefault="00657B1B" w:rsidP="00657B1B">
            <w:pPr>
              <w:spacing w:before="120" w:after="12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57B1B">
              <w:rPr>
                <w:rFonts w:ascii="David" w:hAnsi="David" w:cs="David" w:hint="cs"/>
                <w:sz w:val="22"/>
                <w:szCs w:val="22"/>
                <w:rtl/>
              </w:rPr>
              <w:t>(בתנאי ש</w:t>
            </w:r>
            <w:r w:rsidR="009F4573">
              <w:rPr>
                <w:rFonts w:ascii="David" w:hAnsi="David" w:cs="David" w:hint="cs"/>
                <w:sz w:val="22"/>
                <w:szCs w:val="22"/>
                <w:rtl/>
              </w:rPr>
              <w:t xml:space="preserve">הבקשה </w:t>
            </w:r>
            <w:r w:rsidRPr="00657B1B">
              <w:rPr>
                <w:rFonts w:ascii="David" w:hAnsi="David" w:cs="David" w:hint="cs"/>
                <w:sz w:val="22"/>
                <w:szCs w:val="22"/>
                <w:rtl/>
              </w:rPr>
              <w:t>לא כולל</w:t>
            </w:r>
            <w:r w:rsidR="009F4573">
              <w:rPr>
                <w:rFonts w:ascii="David" w:hAnsi="David" w:cs="David" w:hint="cs"/>
                <w:sz w:val="22"/>
                <w:szCs w:val="22"/>
                <w:rtl/>
              </w:rPr>
              <w:t>ת</w:t>
            </w:r>
            <w:r w:rsidRPr="00657B1B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="009F4573">
              <w:rPr>
                <w:rFonts w:ascii="David" w:hAnsi="David" w:cs="David" w:hint="cs"/>
                <w:sz w:val="22"/>
                <w:szCs w:val="22"/>
                <w:rtl/>
              </w:rPr>
              <w:t>צורך ב</w:t>
            </w:r>
            <w:r w:rsidRPr="00657B1B">
              <w:rPr>
                <w:rFonts w:ascii="David" w:hAnsi="David" w:cs="David" w:hint="cs"/>
                <w:sz w:val="22"/>
                <w:szCs w:val="22"/>
                <w:rtl/>
              </w:rPr>
              <w:t>הריסות</w:t>
            </w:r>
            <w:r w:rsidR="009F4573">
              <w:rPr>
                <w:rFonts w:ascii="David" w:hAnsi="David" w:cs="David" w:hint="cs"/>
                <w:sz w:val="22"/>
                <w:szCs w:val="22"/>
                <w:rtl/>
              </w:rPr>
              <w:t xml:space="preserve"> של למעלה מ-30 מ"ר</w:t>
            </w:r>
            <w:r w:rsidRPr="00657B1B">
              <w:rPr>
                <w:rFonts w:ascii="David" w:hAnsi="David" w:cs="David" w:hint="cs"/>
                <w:sz w:val="22"/>
                <w:szCs w:val="22"/>
                <w:rtl/>
              </w:rPr>
              <w:t>)</w:t>
            </w:r>
          </w:p>
          <w:p w:rsidR="00657B1B" w:rsidRPr="00657B1B" w:rsidRDefault="00657B1B" w:rsidP="00337D39">
            <w:pPr>
              <w:spacing w:before="120" w:after="12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57B1B">
              <w:rPr>
                <w:rFonts w:ascii="David" w:hAnsi="David" w:cs="David"/>
                <w:sz w:val="22"/>
                <w:szCs w:val="22"/>
                <w:rtl/>
              </w:rPr>
              <w:t>אין הכרח לאשר הפחתה כלל</w:t>
            </w:r>
          </w:p>
          <w:p w:rsidR="00722E55" w:rsidRPr="00657B1B" w:rsidRDefault="00722E55" w:rsidP="00337D39">
            <w:pPr>
              <w:spacing w:before="120" w:after="12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</w:tbl>
    <w:p w:rsidR="007E4DC4" w:rsidRDefault="007E4DC4">
      <w:pPr>
        <w:rPr>
          <w:rFonts w:ascii="David" w:hAnsi="David" w:cs="David"/>
          <w:rtl/>
        </w:rPr>
      </w:pPr>
    </w:p>
    <w:p w:rsidR="00E008CB" w:rsidRDefault="00E008CB">
      <w:pPr>
        <w:rPr>
          <w:rFonts w:ascii="David" w:hAnsi="David" w:cs="David"/>
          <w:rtl/>
        </w:rPr>
      </w:pPr>
    </w:p>
    <w:p w:rsidR="00E008CB" w:rsidRPr="00722E55" w:rsidRDefault="00E008CB">
      <w:pPr>
        <w:rPr>
          <w:rFonts w:ascii="David" w:hAnsi="David" w:cs="David"/>
        </w:rPr>
      </w:pPr>
      <w:r>
        <w:rPr>
          <w:rFonts w:ascii="David" w:hAnsi="David" w:cs="David"/>
          <w:rtl/>
        </w:rPr>
        <w:t>ו\32\1\85</w:t>
      </w:r>
    </w:p>
    <w:sectPr w:rsidR="00E008CB" w:rsidRPr="00722E55" w:rsidSect="00722E55">
      <w:pgSz w:w="11906" w:h="16838"/>
      <w:pgMar w:top="567" w:right="1418" w:bottom="567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EB9" w:rsidRDefault="00B50EB9" w:rsidP="00722E55">
      <w:r>
        <w:separator/>
      </w:r>
    </w:p>
  </w:endnote>
  <w:endnote w:type="continuationSeparator" w:id="0">
    <w:p w:rsidR="00B50EB9" w:rsidRDefault="00B50EB9" w:rsidP="0072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EB9" w:rsidRDefault="00B50EB9" w:rsidP="00722E55">
      <w:r>
        <w:separator/>
      </w:r>
    </w:p>
  </w:footnote>
  <w:footnote w:type="continuationSeparator" w:id="0">
    <w:p w:rsidR="00B50EB9" w:rsidRDefault="00B50EB9" w:rsidP="00722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90522"/>
    <w:multiLevelType w:val="hybridMultilevel"/>
    <w:tmpl w:val="7A0ED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56134"/>
    <w:multiLevelType w:val="hybridMultilevel"/>
    <w:tmpl w:val="BF7EF374"/>
    <w:lvl w:ilvl="0" w:tplc="A192D9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84E44"/>
    <w:multiLevelType w:val="hybridMultilevel"/>
    <w:tmpl w:val="7EA03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5439E"/>
    <w:multiLevelType w:val="hybridMultilevel"/>
    <w:tmpl w:val="100C22AA"/>
    <w:lvl w:ilvl="0" w:tplc="D3AACEE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B8"/>
    <w:rsid w:val="000B5FFA"/>
    <w:rsid w:val="000E1CA2"/>
    <w:rsid w:val="000F20A6"/>
    <w:rsid w:val="00131767"/>
    <w:rsid w:val="00173DD3"/>
    <w:rsid w:val="002A05F2"/>
    <w:rsid w:val="002E2285"/>
    <w:rsid w:val="00473AA1"/>
    <w:rsid w:val="00574DB8"/>
    <w:rsid w:val="005F3CF9"/>
    <w:rsid w:val="00644455"/>
    <w:rsid w:val="00657B1B"/>
    <w:rsid w:val="006653FE"/>
    <w:rsid w:val="00722E55"/>
    <w:rsid w:val="007265DB"/>
    <w:rsid w:val="007E4DC4"/>
    <w:rsid w:val="00884609"/>
    <w:rsid w:val="0098399B"/>
    <w:rsid w:val="009C57DC"/>
    <w:rsid w:val="009D17D2"/>
    <w:rsid w:val="009F4573"/>
    <w:rsid w:val="00A06E35"/>
    <w:rsid w:val="00AD0ED0"/>
    <w:rsid w:val="00B224E4"/>
    <w:rsid w:val="00B50EB9"/>
    <w:rsid w:val="00C06F28"/>
    <w:rsid w:val="00CF4CF8"/>
    <w:rsid w:val="00E008CB"/>
    <w:rsid w:val="00E326CA"/>
    <w:rsid w:val="00FD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E6DE5-8713-4544-B444-46A9DD3E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E55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4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74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74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74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74D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74DB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74D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74DB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74D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74D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74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74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74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D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74D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4DB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22E55"/>
    <w:pPr>
      <w:tabs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uiPriority w:val="99"/>
    <w:rsid w:val="00722E5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0">
    <w:name w:val="footer"/>
    <w:basedOn w:val="a"/>
    <w:link w:val="af1"/>
    <w:uiPriority w:val="99"/>
    <w:unhideWhenUsed/>
    <w:rsid w:val="00722E55"/>
    <w:pPr>
      <w:tabs>
        <w:tab w:val="center" w:pos="4153"/>
        <w:tab w:val="right" w:pos="8306"/>
      </w:tabs>
    </w:pPr>
  </w:style>
  <w:style w:type="character" w:customStyle="1" w:styleId="af1">
    <w:name w:val="כותרת תחתונה תו"/>
    <w:basedOn w:val="a0"/>
    <w:link w:val="af0"/>
    <w:uiPriority w:val="99"/>
    <w:rsid w:val="00722E5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f2">
    <w:name w:val="Table Grid"/>
    <w:basedOn w:val="a1"/>
    <w:uiPriority w:val="59"/>
    <w:rsid w:val="00722E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31767"/>
    <w:rPr>
      <w:rFonts w:ascii="Tahoma" w:hAnsi="Tahoma" w:cs="Tahoma"/>
      <w:sz w:val="18"/>
      <w:szCs w:val="18"/>
    </w:rPr>
  </w:style>
  <w:style w:type="character" w:customStyle="1" w:styleId="af4">
    <w:name w:val="טקסט בלונים תו"/>
    <w:basedOn w:val="a0"/>
    <w:link w:val="af3"/>
    <w:uiPriority w:val="99"/>
    <w:semiHidden/>
    <w:rsid w:val="00131767"/>
    <w:rPr>
      <w:rFonts w:ascii="Tahoma" w:eastAsia="Times New Roman" w:hAnsi="Tahoma" w:cs="Tahom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לילך LGR 365</dc:creator>
  <cp:keywords>ו\32\1\85</cp:keywords>
  <dc:description/>
  <cp:lastModifiedBy>ענבר בן סימון - יועצת משפטית</cp:lastModifiedBy>
  <cp:revision>2</cp:revision>
  <cp:lastPrinted>2025-07-24T08:15:00Z</cp:lastPrinted>
  <dcterms:created xsi:type="dcterms:W3CDTF">2025-09-02T13:11:00Z</dcterms:created>
  <dcterms:modified xsi:type="dcterms:W3CDTF">2025-09-02T13:11:00Z</dcterms:modified>
</cp:coreProperties>
</file>